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1803" w14:textId="4C8B364B" w:rsidR="00686449" w:rsidRPr="005122B0" w:rsidRDefault="00686449">
      <w:pPr>
        <w:spacing w:after="200" w:line="276" w:lineRule="auto"/>
        <w:rPr>
          <w:rFonts w:cs="Arial"/>
          <w:b/>
          <w:bCs/>
          <w:sz w:val="36"/>
          <w:szCs w:val="36"/>
          <w:lang w:val="en-US"/>
        </w:rPr>
      </w:pPr>
    </w:p>
    <w:p w14:paraId="0B8E1805" w14:textId="7A094CCD" w:rsidR="00DC70D8" w:rsidRPr="005122B0" w:rsidRDefault="005122B0" w:rsidP="00DC70D8">
      <w:pPr>
        <w:jc w:val="center"/>
        <w:rPr>
          <w:sz w:val="36"/>
          <w:szCs w:val="36"/>
        </w:rPr>
      </w:pPr>
      <w:r w:rsidRPr="005122B0">
        <w:rPr>
          <w:sz w:val="36"/>
          <w:szCs w:val="36"/>
        </w:rPr>
        <w:t xml:space="preserve">Counselling </w:t>
      </w:r>
      <w:r>
        <w:rPr>
          <w:sz w:val="36"/>
          <w:szCs w:val="36"/>
        </w:rPr>
        <w:t>i</w:t>
      </w:r>
      <w:r w:rsidRPr="005122B0">
        <w:rPr>
          <w:sz w:val="36"/>
          <w:szCs w:val="36"/>
        </w:rPr>
        <w:t xml:space="preserve">n Prisons Network </w:t>
      </w:r>
    </w:p>
    <w:p w14:paraId="0B8E1806" w14:textId="77777777" w:rsidR="00DC70D8" w:rsidRDefault="00DC70D8" w:rsidP="00DC70D8">
      <w:pPr>
        <w:jc w:val="center"/>
      </w:pPr>
    </w:p>
    <w:p w14:paraId="0B8E1807" w14:textId="77777777" w:rsidR="00DC70D8" w:rsidRDefault="00DC70D8" w:rsidP="00DC70D8">
      <w:pPr>
        <w:jc w:val="center"/>
      </w:pPr>
    </w:p>
    <w:p w14:paraId="0B8E1808" w14:textId="77777777" w:rsidR="000A1A13" w:rsidRPr="000A1A13" w:rsidRDefault="000A1A13" w:rsidP="00DC70D8">
      <w:pPr>
        <w:jc w:val="center"/>
        <w:rPr>
          <w:b/>
        </w:rPr>
      </w:pPr>
      <w:r w:rsidRPr="000A1A13">
        <w:rPr>
          <w:b/>
        </w:rPr>
        <w:t>Charity Number:  1159028</w:t>
      </w:r>
    </w:p>
    <w:p w14:paraId="0B8E1809" w14:textId="77777777" w:rsidR="00DC70D8" w:rsidRDefault="00DC70D8" w:rsidP="00DC70D8">
      <w:pPr>
        <w:pStyle w:val="Heading1"/>
        <w:jc w:val="center"/>
      </w:pPr>
    </w:p>
    <w:p w14:paraId="0B8E180A" w14:textId="77777777" w:rsidR="00DC70D8" w:rsidRDefault="00DC70D8" w:rsidP="00DC70D8">
      <w:pPr>
        <w:jc w:val="center"/>
        <w:rPr>
          <w:b/>
          <w:bCs/>
          <w:sz w:val="28"/>
        </w:rPr>
      </w:pPr>
    </w:p>
    <w:p w14:paraId="0B8E180B" w14:textId="77777777" w:rsidR="00DC70D8" w:rsidRDefault="00DC70D8">
      <w:pPr>
        <w:spacing w:after="200" w:line="276" w:lineRule="auto"/>
        <w:rPr>
          <w:rFonts w:cs="Arial"/>
          <w:b/>
          <w:bCs/>
          <w:sz w:val="24"/>
          <w:szCs w:val="22"/>
          <w:lang w:val="en-US"/>
        </w:rPr>
      </w:pPr>
    </w:p>
    <w:p w14:paraId="0B8E180C" w14:textId="77777777" w:rsidR="00DB03E9" w:rsidRDefault="00686449" w:rsidP="00686449">
      <w:pPr>
        <w:jc w:val="center"/>
        <w:rPr>
          <w:rFonts w:cs="Arial"/>
          <w:b/>
          <w:bCs/>
          <w:sz w:val="36"/>
          <w:szCs w:val="36"/>
          <w:lang w:val="en-US"/>
        </w:rPr>
      </w:pPr>
      <w:r w:rsidRPr="00686449">
        <w:rPr>
          <w:rFonts w:cs="Arial"/>
          <w:b/>
          <w:bCs/>
          <w:sz w:val="36"/>
          <w:szCs w:val="36"/>
          <w:lang w:val="en-US"/>
        </w:rPr>
        <w:t xml:space="preserve">Ethical Framework </w:t>
      </w:r>
      <w:r>
        <w:rPr>
          <w:rFonts w:cs="Arial"/>
          <w:b/>
          <w:bCs/>
          <w:sz w:val="36"/>
          <w:szCs w:val="36"/>
          <w:lang w:val="en-US"/>
        </w:rPr>
        <w:t xml:space="preserve">for working therapeutically </w:t>
      </w:r>
    </w:p>
    <w:p w14:paraId="0B8E180D" w14:textId="77777777" w:rsidR="00686449" w:rsidRDefault="00686449" w:rsidP="00686449">
      <w:pPr>
        <w:jc w:val="center"/>
        <w:rPr>
          <w:rFonts w:cs="Arial"/>
          <w:b/>
          <w:bCs/>
          <w:sz w:val="36"/>
          <w:szCs w:val="36"/>
          <w:lang w:val="en-US"/>
        </w:rPr>
      </w:pPr>
      <w:r w:rsidRPr="00686449">
        <w:rPr>
          <w:rFonts w:cs="Arial"/>
          <w:b/>
          <w:bCs/>
          <w:sz w:val="36"/>
          <w:szCs w:val="36"/>
          <w:lang w:val="en-US"/>
        </w:rPr>
        <w:t xml:space="preserve">in </w:t>
      </w:r>
      <w:r>
        <w:rPr>
          <w:rFonts w:cs="Arial"/>
          <w:b/>
          <w:bCs/>
          <w:sz w:val="36"/>
          <w:szCs w:val="36"/>
          <w:lang w:val="en-US"/>
        </w:rPr>
        <w:t xml:space="preserve">the </w:t>
      </w:r>
      <w:r w:rsidRPr="00686449">
        <w:rPr>
          <w:rFonts w:cs="Arial"/>
          <w:b/>
          <w:bCs/>
          <w:sz w:val="36"/>
          <w:szCs w:val="36"/>
          <w:lang w:val="en-US"/>
        </w:rPr>
        <w:t xml:space="preserve">Criminal Justice system </w:t>
      </w:r>
    </w:p>
    <w:p w14:paraId="0B8E180E" w14:textId="77777777" w:rsidR="00686449" w:rsidRDefault="00686449" w:rsidP="00686449">
      <w:pPr>
        <w:jc w:val="center"/>
        <w:rPr>
          <w:rFonts w:cs="Arial"/>
          <w:b/>
          <w:bCs/>
          <w:sz w:val="36"/>
          <w:szCs w:val="36"/>
          <w:lang w:val="en-US"/>
        </w:rPr>
      </w:pPr>
    </w:p>
    <w:p w14:paraId="0B8E180F" w14:textId="77777777" w:rsidR="00686449" w:rsidRDefault="00686449" w:rsidP="00686449">
      <w:pPr>
        <w:jc w:val="center"/>
        <w:rPr>
          <w:rFonts w:cs="Arial"/>
          <w:b/>
          <w:bCs/>
          <w:sz w:val="36"/>
          <w:szCs w:val="36"/>
          <w:lang w:val="en-US"/>
        </w:rPr>
      </w:pPr>
    </w:p>
    <w:p w14:paraId="0B8E1810" w14:textId="77777777" w:rsidR="00686449" w:rsidRDefault="00686449" w:rsidP="00686449">
      <w:pPr>
        <w:jc w:val="center"/>
        <w:rPr>
          <w:rFonts w:cs="Arial"/>
          <w:b/>
          <w:bCs/>
          <w:sz w:val="36"/>
          <w:szCs w:val="36"/>
          <w:lang w:val="en-US"/>
        </w:rPr>
      </w:pPr>
    </w:p>
    <w:p w14:paraId="0B8E1811" w14:textId="77777777" w:rsidR="00686449" w:rsidRPr="00686449" w:rsidRDefault="00686449" w:rsidP="00686449">
      <w:pPr>
        <w:jc w:val="center"/>
        <w:rPr>
          <w:rFonts w:cs="Arial"/>
          <w:b/>
          <w:bCs/>
          <w:sz w:val="36"/>
          <w:szCs w:val="36"/>
          <w:lang w:val="en-US"/>
        </w:rPr>
      </w:pPr>
    </w:p>
    <w:p w14:paraId="0B8E1812" w14:textId="77777777" w:rsidR="00686449" w:rsidRDefault="00686449" w:rsidP="00686449">
      <w:pPr>
        <w:spacing w:after="200" w:line="276" w:lineRule="auto"/>
        <w:jc w:val="center"/>
        <w:rPr>
          <w:rFonts w:cs="Arial"/>
          <w:b/>
          <w:bCs/>
          <w:sz w:val="24"/>
          <w:szCs w:val="22"/>
          <w:lang w:val="en-US"/>
        </w:rPr>
      </w:pPr>
      <w:r>
        <w:rPr>
          <w:rFonts w:cs="Arial"/>
          <w:b/>
          <w:bCs/>
          <w:sz w:val="24"/>
          <w:szCs w:val="22"/>
          <w:lang w:val="en-US"/>
        </w:rPr>
        <w:br w:type="page"/>
      </w:r>
    </w:p>
    <w:p w14:paraId="0B8E1813" w14:textId="77777777" w:rsidR="00CD7DC9" w:rsidRDefault="00CD7DC9" w:rsidP="00CD7DC9">
      <w:pPr>
        <w:jc w:val="center"/>
        <w:rPr>
          <w:rFonts w:cs="Arial"/>
          <w:b/>
          <w:bCs/>
          <w:sz w:val="24"/>
          <w:szCs w:val="22"/>
          <w:lang w:val="en-US"/>
        </w:rPr>
      </w:pPr>
      <w:r>
        <w:rPr>
          <w:rFonts w:cs="Arial"/>
          <w:b/>
          <w:bCs/>
          <w:sz w:val="24"/>
          <w:szCs w:val="22"/>
          <w:lang w:val="en-US"/>
        </w:rPr>
        <w:lastRenderedPageBreak/>
        <w:t>Ethical Framework</w:t>
      </w:r>
      <w:r w:rsidR="000F7539">
        <w:rPr>
          <w:rFonts w:cs="Arial"/>
          <w:b/>
          <w:bCs/>
          <w:sz w:val="24"/>
          <w:szCs w:val="22"/>
          <w:lang w:val="en-US"/>
        </w:rPr>
        <w:t xml:space="preserve"> </w:t>
      </w:r>
      <w:r w:rsidR="00686449">
        <w:rPr>
          <w:rFonts w:cs="Arial"/>
          <w:b/>
          <w:bCs/>
          <w:sz w:val="24"/>
          <w:szCs w:val="22"/>
          <w:lang w:val="en-US"/>
        </w:rPr>
        <w:t xml:space="preserve">for </w:t>
      </w:r>
      <w:r w:rsidR="000F7539">
        <w:rPr>
          <w:rFonts w:cs="Arial"/>
          <w:b/>
          <w:bCs/>
          <w:sz w:val="24"/>
          <w:szCs w:val="22"/>
          <w:lang w:val="en-US"/>
        </w:rPr>
        <w:t xml:space="preserve">working therapeutically </w:t>
      </w:r>
      <w:r>
        <w:rPr>
          <w:rFonts w:cs="Arial"/>
          <w:b/>
          <w:bCs/>
          <w:sz w:val="24"/>
          <w:szCs w:val="22"/>
          <w:lang w:val="en-US"/>
        </w:rPr>
        <w:t xml:space="preserve">in </w:t>
      </w:r>
      <w:r w:rsidR="00686449">
        <w:rPr>
          <w:rFonts w:cs="Arial"/>
          <w:b/>
          <w:bCs/>
          <w:sz w:val="24"/>
          <w:szCs w:val="22"/>
          <w:lang w:val="en-US"/>
        </w:rPr>
        <w:t xml:space="preserve">the </w:t>
      </w:r>
      <w:r>
        <w:rPr>
          <w:rFonts w:cs="Arial"/>
          <w:b/>
          <w:bCs/>
          <w:sz w:val="24"/>
          <w:szCs w:val="22"/>
          <w:lang w:val="en-US"/>
        </w:rPr>
        <w:t xml:space="preserve">Criminal Justice system </w:t>
      </w:r>
    </w:p>
    <w:p w14:paraId="0B8E1814" w14:textId="77777777" w:rsidR="00CD7DC9" w:rsidRDefault="00CD7DC9" w:rsidP="00CD7DC9">
      <w:pPr>
        <w:rPr>
          <w:rFonts w:cs="Arial"/>
          <w:b/>
          <w:bCs/>
          <w:sz w:val="24"/>
          <w:szCs w:val="22"/>
          <w:lang w:val="en-US"/>
        </w:rPr>
      </w:pPr>
    </w:p>
    <w:p w14:paraId="0B8E1815" w14:textId="77777777" w:rsidR="00155284" w:rsidRDefault="00CD7DC9" w:rsidP="00686449">
      <w:pPr>
        <w:jc w:val="both"/>
        <w:rPr>
          <w:rFonts w:cs="Arial"/>
          <w:sz w:val="24"/>
          <w:szCs w:val="22"/>
          <w:lang w:val="en-US"/>
        </w:rPr>
      </w:pPr>
      <w:r>
        <w:rPr>
          <w:rFonts w:cs="Arial"/>
          <w:sz w:val="24"/>
          <w:szCs w:val="22"/>
          <w:lang w:val="en-US"/>
        </w:rPr>
        <w:t xml:space="preserve">This framework exists to provide a touchstone that informs </w:t>
      </w:r>
      <w:r w:rsidR="004B33A3">
        <w:rPr>
          <w:rFonts w:cs="Arial"/>
          <w:sz w:val="24"/>
          <w:szCs w:val="22"/>
          <w:lang w:val="en-US"/>
        </w:rPr>
        <w:t>behavior</w:t>
      </w:r>
      <w:r>
        <w:rPr>
          <w:rFonts w:cs="Arial"/>
          <w:sz w:val="24"/>
          <w:szCs w:val="22"/>
          <w:lang w:val="en-US"/>
        </w:rPr>
        <w:t xml:space="preserve"> and attitudes of staff in their interactions with offenders, ex-offenders and other marginalized groups within the Criminal Justice System as applied to the disclosure of sexual violence and trauma. This section sets out clearly the ethical framework necessary for the safe engagement, management, and treatment of offenders and ex-offenders disclosing sexual violence</w:t>
      </w:r>
      <w:r>
        <w:rPr>
          <w:rFonts w:cs="Arial"/>
          <w:b/>
          <w:bCs/>
          <w:sz w:val="24"/>
          <w:szCs w:val="22"/>
          <w:lang w:val="en-US"/>
        </w:rPr>
        <w:t xml:space="preserve">, </w:t>
      </w:r>
      <w:r w:rsidR="00DE4CF7">
        <w:rPr>
          <w:rFonts w:cs="Arial"/>
          <w:sz w:val="24"/>
          <w:szCs w:val="22"/>
          <w:lang w:val="en-US"/>
        </w:rPr>
        <w:t xml:space="preserve">trauma, </w:t>
      </w:r>
      <w:r>
        <w:rPr>
          <w:rFonts w:cs="Arial"/>
          <w:sz w:val="24"/>
          <w:szCs w:val="22"/>
          <w:lang w:val="en-US"/>
        </w:rPr>
        <w:t>imported distress</w:t>
      </w:r>
      <w:r w:rsidR="00DE4CF7">
        <w:rPr>
          <w:rFonts w:cs="Arial"/>
          <w:sz w:val="24"/>
          <w:szCs w:val="22"/>
          <w:lang w:val="en-US"/>
        </w:rPr>
        <w:t xml:space="preserve"> or other general counse</w:t>
      </w:r>
      <w:r w:rsidR="00C42461">
        <w:rPr>
          <w:rFonts w:cs="Arial"/>
          <w:sz w:val="24"/>
          <w:szCs w:val="22"/>
          <w:lang w:val="en-US"/>
        </w:rPr>
        <w:t>l</w:t>
      </w:r>
      <w:r w:rsidR="00DE4CF7">
        <w:rPr>
          <w:rFonts w:cs="Arial"/>
          <w:sz w:val="24"/>
          <w:szCs w:val="22"/>
          <w:lang w:val="en-US"/>
        </w:rPr>
        <w:t>ling issues that present themselves in the Criminal Justice System.</w:t>
      </w:r>
    </w:p>
    <w:p w14:paraId="0B8E1816" w14:textId="77777777" w:rsidR="00155284" w:rsidRDefault="00155284" w:rsidP="00686449">
      <w:pPr>
        <w:jc w:val="both"/>
        <w:rPr>
          <w:rFonts w:cs="Arial"/>
          <w:sz w:val="24"/>
          <w:szCs w:val="22"/>
          <w:lang w:val="en-US"/>
        </w:rPr>
      </w:pPr>
    </w:p>
    <w:p w14:paraId="0B8E1817" w14:textId="77777777" w:rsidR="00CD7DC9" w:rsidRDefault="00CD7DC9" w:rsidP="00686449">
      <w:pPr>
        <w:jc w:val="both"/>
        <w:rPr>
          <w:rFonts w:cs="Arial"/>
          <w:sz w:val="24"/>
          <w:szCs w:val="22"/>
          <w:lang w:val="en-US"/>
        </w:rPr>
      </w:pPr>
      <w:r>
        <w:rPr>
          <w:rFonts w:cs="Arial"/>
          <w:sz w:val="24"/>
          <w:szCs w:val="22"/>
          <w:lang w:val="en-US"/>
        </w:rPr>
        <w:t>These ethical principles will permeate the whole of the strategy.  The following are predicated on the principles articulated in the Ethical Framework for Good Practice in Counselling and Psychotherapy (BACP 2010).</w:t>
      </w:r>
    </w:p>
    <w:p w14:paraId="0B8E1818" w14:textId="77777777" w:rsidR="00CD7DC9" w:rsidRDefault="00CD7DC9" w:rsidP="00CD7DC9">
      <w:pPr>
        <w:rPr>
          <w:rFonts w:cs="Arial"/>
          <w:b/>
          <w:bCs/>
          <w:sz w:val="24"/>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81"/>
      </w:tblGrid>
      <w:tr w:rsidR="005249D3" w:rsidRPr="005249D3" w14:paraId="0B8E181B" w14:textId="77777777" w:rsidTr="005249D3">
        <w:tc>
          <w:tcPr>
            <w:tcW w:w="675" w:type="dxa"/>
          </w:tcPr>
          <w:p w14:paraId="0B8E1819" w14:textId="77777777" w:rsidR="005249D3" w:rsidRPr="005249D3" w:rsidRDefault="005249D3" w:rsidP="00810856">
            <w:pPr>
              <w:jc w:val="both"/>
              <w:rPr>
                <w:rFonts w:cs="Arial"/>
                <w:sz w:val="24"/>
                <w:lang w:val="en-US"/>
              </w:rPr>
            </w:pPr>
            <w:r>
              <w:rPr>
                <w:rFonts w:cs="Arial"/>
                <w:sz w:val="24"/>
                <w:lang w:val="en-US"/>
              </w:rPr>
              <w:t>1.1</w:t>
            </w:r>
          </w:p>
        </w:tc>
        <w:tc>
          <w:tcPr>
            <w:tcW w:w="9781" w:type="dxa"/>
          </w:tcPr>
          <w:p w14:paraId="0B8E181A" w14:textId="77777777" w:rsidR="005249D3" w:rsidRPr="005249D3" w:rsidRDefault="005249D3" w:rsidP="005249D3">
            <w:pPr>
              <w:jc w:val="both"/>
              <w:rPr>
                <w:rFonts w:cs="Arial"/>
                <w:b/>
                <w:bCs/>
                <w:sz w:val="24"/>
                <w:lang w:val="en-US"/>
              </w:rPr>
            </w:pPr>
            <w:r w:rsidRPr="005249D3">
              <w:rPr>
                <w:rFonts w:cs="Arial"/>
                <w:b/>
                <w:bCs/>
                <w:sz w:val="24"/>
                <w:lang w:val="en-US"/>
              </w:rPr>
              <w:t>Basic Justice.</w:t>
            </w:r>
            <w:r w:rsidRPr="005249D3">
              <w:rPr>
                <w:rFonts w:cs="Arial"/>
                <w:sz w:val="24"/>
                <w:lang w:val="en-US"/>
              </w:rPr>
              <w:t xml:space="preserve">  This principle asserts the need to demonstrate just and impartial treatment of all those within the Criminal Justice System and the provision of adequate and </w:t>
            </w:r>
            <w:proofErr w:type="gramStart"/>
            <w:r w:rsidRPr="005249D3">
              <w:rPr>
                <w:rFonts w:cs="Arial"/>
                <w:sz w:val="24"/>
                <w:lang w:val="en-US"/>
              </w:rPr>
              <w:t>fairly distributed</w:t>
            </w:r>
            <w:proofErr w:type="gramEnd"/>
            <w:r w:rsidRPr="005249D3">
              <w:rPr>
                <w:rFonts w:cs="Arial"/>
                <w:sz w:val="24"/>
                <w:lang w:val="en-US"/>
              </w:rPr>
              <w:t xml:space="preserve"> services.  The principle re-states the need to respect the human rights and dignity of offenders.  It implies attention to legal obligations.  It includes the commitment to equality of opportunity, and to avoidance of discrimination.</w:t>
            </w:r>
          </w:p>
        </w:tc>
      </w:tr>
      <w:tr w:rsidR="005249D3" w:rsidRPr="005249D3" w14:paraId="0B8E181E" w14:textId="77777777" w:rsidTr="005249D3">
        <w:tc>
          <w:tcPr>
            <w:tcW w:w="675" w:type="dxa"/>
          </w:tcPr>
          <w:p w14:paraId="0B8E181C" w14:textId="77777777" w:rsidR="005249D3" w:rsidRPr="005249D3" w:rsidRDefault="005249D3" w:rsidP="00810856">
            <w:pPr>
              <w:jc w:val="both"/>
              <w:rPr>
                <w:rFonts w:cs="Arial"/>
                <w:sz w:val="24"/>
                <w:lang w:val="en-US"/>
              </w:rPr>
            </w:pPr>
          </w:p>
        </w:tc>
        <w:tc>
          <w:tcPr>
            <w:tcW w:w="9781" w:type="dxa"/>
          </w:tcPr>
          <w:p w14:paraId="0B8E181D" w14:textId="77777777" w:rsidR="005249D3" w:rsidRPr="005249D3" w:rsidRDefault="005249D3" w:rsidP="005249D3">
            <w:pPr>
              <w:jc w:val="both"/>
              <w:rPr>
                <w:rFonts w:cs="Arial"/>
                <w:sz w:val="24"/>
                <w:lang w:val="en-US"/>
              </w:rPr>
            </w:pPr>
          </w:p>
        </w:tc>
      </w:tr>
      <w:tr w:rsidR="005249D3" w:rsidRPr="005249D3" w14:paraId="0B8E1821" w14:textId="77777777" w:rsidTr="005249D3">
        <w:tc>
          <w:tcPr>
            <w:tcW w:w="675" w:type="dxa"/>
          </w:tcPr>
          <w:p w14:paraId="0B8E181F" w14:textId="77777777" w:rsidR="005249D3" w:rsidRPr="005249D3" w:rsidRDefault="005249D3" w:rsidP="00810856">
            <w:pPr>
              <w:rPr>
                <w:rFonts w:cs="Arial"/>
                <w:sz w:val="24"/>
                <w:lang w:val="en-US"/>
              </w:rPr>
            </w:pPr>
            <w:r>
              <w:rPr>
                <w:rFonts w:cs="Arial"/>
                <w:sz w:val="24"/>
                <w:lang w:val="en-US"/>
              </w:rPr>
              <w:t>1.2</w:t>
            </w:r>
          </w:p>
        </w:tc>
        <w:tc>
          <w:tcPr>
            <w:tcW w:w="9781" w:type="dxa"/>
          </w:tcPr>
          <w:p w14:paraId="0B8E1820" w14:textId="05F675E0" w:rsidR="005249D3" w:rsidRPr="005249D3" w:rsidRDefault="005249D3" w:rsidP="005249D3">
            <w:pPr>
              <w:jc w:val="both"/>
              <w:rPr>
                <w:rFonts w:cs="Arial"/>
                <w:b/>
                <w:bCs/>
                <w:sz w:val="24"/>
                <w:lang w:val="en-US"/>
              </w:rPr>
            </w:pPr>
            <w:r w:rsidRPr="005249D3">
              <w:rPr>
                <w:rFonts w:cs="Arial"/>
                <w:b/>
                <w:bCs/>
                <w:sz w:val="24"/>
                <w:lang w:val="en-US"/>
              </w:rPr>
              <w:t>Beneficence</w:t>
            </w:r>
            <w:r w:rsidRPr="005249D3">
              <w:rPr>
                <w:rFonts w:cs="Arial"/>
                <w:sz w:val="24"/>
                <w:lang w:val="en-US"/>
              </w:rPr>
              <w:t xml:space="preserve">.  This principle involves a commitment to promoting the offender’s </w:t>
            </w:r>
            <w:r w:rsidR="009B2E9A" w:rsidRPr="005249D3">
              <w:rPr>
                <w:rFonts w:cs="Arial"/>
                <w:sz w:val="24"/>
                <w:lang w:val="en-US"/>
              </w:rPr>
              <w:t>wellbeing</w:t>
            </w:r>
            <w:r w:rsidRPr="005249D3">
              <w:rPr>
                <w:rFonts w:cs="Arial"/>
                <w:sz w:val="24"/>
                <w:lang w:val="en-US"/>
              </w:rPr>
              <w:t xml:space="preserve"> and to working in his / her best interests based on professional assessment.  Ensuring that the offender’s best interests are served requires monitoring of practice and outcomes, including thorough research and systematic reflection.  There is an obligation to use regular and on-going supervision to enhance the quality of the services provided and to update practice by continuing professional development.  The obligation to act in the best interests of the offender may be highlighted by the person’s reduced capacity for autonomy, lack of understanding, extreme distress, or any of the range of personal constraints, which are a feature of the custodial setting.</w:t>
            </w:r>
          </w:p>
        </w:tc>
      </w:tr>
      <w:tr w:rsidR="005249D3" w:rsidRPr="005249D3" w14:paraId="0B8E1824" w14:textId="77777777" w:rsidTr="005249D3">
        <w:tc>
          <w:tcPr>
            <w:tcW w:w="675" w:type="dxa"/>
          </w:tcPr>
          <w:p w14:paraId="0B8E1822" w14:textId="77777777" w:rsidR="005249D3" w:rsidRPr="005249D3" w:rsidRDefault="005249D3" w:rsidP="00810856">
            <w:pPr>
              <w:rPr>
                <w:rFonts w:cs="Arial"/>
                <w:sz w:val="24"/>
                <w:lang w:val="en-US"/>
              </w:rPr>
            </w:pPr>
          </w:p>
        </w:tc>
        <w:tc>
          <w:tcPr>
            <w:tcW w:w="9781" w:type="dxa"/>
          </w:tcPr>
          <w:p w14:paraId="0B8E1823" w14:textId="77777777" w:rsidR="005249D3" w:rsidRPr="005249D3" w:rsidRDefault="005249D3" w:rsidP="005249D3">
            <w:pPr>
              <w:jc w:val="both"/>
              <w:rPr>
                <w:rFonts w:cs="Arial"/>
                <w:sz w:val="24"/>
                <w:lang w:val="en-US"/>
              </w:rPr>
            </w:pPr>
          </w:p>
        </w:tc>
      </w:tr>
      <w:tr w:rsidR="005249D3" w:rsidRPr="005249D3" w14:paraId="0B8E1827" w14:textId="77777777" w:rsidTr="005249D3">
        <w:tc>
          <w:tcPr>
            <w:tcW w:w="675" w:type="dxa"/>
          </w:tcPr>
          <w:p w14:paraId="0B8E1825" w14:textId="77777777" w:rsidR="005249D3" w:rsidRPr="005249D3" w:rsidRDefault="005249D3" w:rsidP="00810856">
            <w:pPr>
              <w:rPr>
                <w:rFonts w:cs="Arial"/>
                <w:sz w:val="24"/>
                <w:lang w:val="en-US"/>
              </w:rPr>
            </w:pPr>
            <w:r>
              <w:rPr>
                <w:rFonts w:cs="Arial"/>
                <w:sz w:val="24"/>
                <w:lang w:val="en-US"/>
              </w:rPr>
              <w:t>1.3</w:t>
            </w:r>
          </w:p>
        </w:tc>
        <w:tc>
          <w:tcPr>
            <w:tcW w:w="9781" w:type="dxa"/>
          </w:tcPr>
          <w:p w14:paraId="0B8E1826" w14:textId="77777777" w:rsidR="005249D3" w:rsidRPr="005249D3" w:rsidRDefault="005249D3" w:rsidP="005249D3">
            <w:pPr>
              <w:jc w:val="both"/>
              <w:rPr>
                <w:rFonts w:cs="Arial"/>
                <w:sz w:val="24"/>
                <w:lang w:val="en-US"/>
              </w:rPr>
            </w:pPr>
            <w:r w:rsidRPr="005249D3">
              <w:rPr>
                <w:rFonts w:cs="Arial"/>
                <w:b/>
                <w:bCs/>
                <w:sz w:val="24"/>
                <w:lang w:val="en-US"/>
              </w:rPr>
              <w:t>Non-maleficence</w:t>
            </w:r>
            <w:r w:rsidRPr="005249D3">
              <w:rPr>
                <w:rFonts w:cs="Arial"/>
                <w:sz w:val="24"/>
                <w:lang w:val="en-US"/>
              </w:rPr>
              <w:t xml:space="preserve">.  </w:t>
            </w:r>
            <w:r w:rsidRPr="005249D3">
              <w:rPr>
                <w:rFonts w:cs="Arial"/>
                <w:sz w:val="24"/>
              </w:rPr>
              <w:t>Non-maleficence refers to the avoidance of sexual, financial, and emotional or any other form of harm to or exploitation of the offender/ex-offender. This involves the practitioner in monitoring any threats to personal competence or fitness to practice. The practitioner has an ethical responsibility to strive to mitigate any harm caused to an offender/ex-offender even when the harm is unavoidable or unintended. The principle includes the responsibility to challenge, where appropriate, the perceived incompetence or malpractice of others involved in safeguarding the welfare of offenders.</w:t>
            </w:r>
          </w:p>
        </w:tc>
      </w:tr>
      <w:tr w:rsidR="005249D3" w:rsidRPr="005249D3" w14:paraId="0B8E182A" w14:textId="77777777" w:rsidTr="005249D3">
        <w:tc>
          <w:tcPr>
            <w:tcW w:w="675" w:type="dxa"/>
          </w:tcPr>
          <w:p w14:paraId="0B8E1828" w14:textId="77777777" w:rsidR="005249D3" w:rsidRPr="005249D3" w:rsidRDefault="005249D3" w:rsidP="00810856">
            <w:pPr>
              <w:rPr>
                <w:rFonts w:cs="Arial"/>
                <w:sz w:val="24"/>
                <w:lang w:val="en-US"/>
              </w:rPr>
            </w:pPr>
          </w:p>
        </w:tc>
        <w:tc>
          <w:tcPr>
            <w:tcW w:w="9781" w:type="dxa"/>
          </w:tcPr>
          <w:p w14:paraId="0B8E1829" w14:textId="77777777" w:rsidR="005249D3" w:rsidRPr="005249D3" w:rsidRDefault="005249D3" w:rsidP="005249D3">
            <w:pPr>
              <w:jc w:val="both"/>
              <w:rPr>
                <w:rFonts w:cs="Arial"/>
                <w:sz w:val="24"/>
                <w:lang w:val="en-US"/>
              </w:rPr>
            </w:pPr>
          </w:p>
        </w:tc>
      </w:tr>
      <w:tr w:rsidR="005249D3" w:rsidRPr="005249D3" w14:paraId="0B8E182D" w14:textId="77777777" w:rsidTr="005249D3">
        <w:tc>
          <w:tcPr>
            <w:tcW w:w="675" w:type="dxa"/>
          </w:tcPr>
          <w:p w14:paraId="0B8E182B" w14:textId="77777777" w:rsidR="005249D3" w:rsidRPr="005249D3" w:rsidRDefault="005249D3" w:rsidP="00810856">
            <w:pPr>
              <w:rPr>
                <w:rFonts w:cs="Arial"/>
                <w:sz w:val="24"/>
                <w:lang w:val="en-US"/>
              </w:rPr>
            </w:pPr>
            <w:r>
              <w:rPr>
                <w:rFonts w:cs="Arial"/>
                <w:sz w:val="24"/>
                <w:lang w:val="en-US"/>
              </w:rPr>
              <w:t>1.4</w:t>
            </w:r>
          </w:p>
        </w:tc>
        <w:tc>
          <w:tcPr>
            <w:tcW w:w="9781" w:type="dxa"/>
          </w:tcPr>
          <w:p w14:paraId="0B8E182C" w14:textId="77777777" w:rsidR="005249D3" w:rsidRPr="005249D3" w:rsidRDefault="005249D3" w:rsidP="005249D3">
            <w:pPr>
              <w:jc w:val="both"/>
              <w:rPr>
                <w:rFonts w:cs="Arial"/>
                <w:sz w:val="24"/>
                <w:lang w:val="en-US"/>
              </w:rPr>
            </w:pPr>
            <w:r w:rsidRPr="005249D3">
              <w:rPr>
                <w:rFonts w:cs="Arial"/>
                <w:b/>
                <w:bCs/>
                <w:sz w:val="24"/>
                <w:lang w:val="en-US"/>
              </w:rPr>
              <w:t>Respect for the autonomy of others.</w:t>
            </w:r>
            <w:r w:rsidRPr="005249D3">
              <w:rPr>
                <w:rFonts w:cs="Arial"/>
                <w:sz w:val="24"/>
                <w:lang w:val="en-US"/>
              </w:rPr>
              <w:t xml:space="preserve">  </w:t>
            </w:r>
            <w:r w:rsidRPr="005249D3">
              <w:rPr>
                <w:rFonts w:cs="Arial"/>
                <w:sz w:val="24"/>
              </w:rPr>
              <w:t>This principle implies respect for the offender’s basic right to be self-governing. The custodial environment places a range of constraints on the offender, who, bearing these constraints in mind, is perceived as having the basic human right to decision-making and self-determination. It is essential to provide accurate information about the therapy provided, including details of the degree of voluntariness of participation in the therapy. There should be clear contracting regarding participation, with limits to confidentiality set out. The principle of autonomy opposes the manipulation of offenders against their will, with whatever perceived justification.</w:t>
            </w:r>
          </w:p>
        </w:tc>
      </w:tr>
      <w:tr w:rsidR="005249D3" w:rsidRPr="005249D3" w14:paraId="0B8E1830" w14:textId="77777777" w:rsidTr="005249D3">
        <w:tc>
          <w:tcPr>
            <w:tcW w:w="675" w:type="dxa"/>
          </w:tcPr>
          <w:p w14:paraId="0B8E182E" w14:textId="77777777" w:rsidR="005249D3" w:rsidRPr="005249D3" w:rsidRDefault="005249D3" w:rsidP="00810856">
            <w:pPr>
              <w:rPr>
                <w:rFonts w:cs="Arial"/>
                <w:sz w:val="24"/>
                <w:lang w:val="en-US"/>
              </w:rPr>
            </w:pPr>
          </w:p>
        </w:tc>
        <w:tc>
          <w:tcPr>
            <w:tcW w:w="9781" w:type="dxa"/>
          </w:tcPr>
          <w:p w14:paraId="0B8E182F" w14:textId="77777777" w:rsidR="005249D3" w:rsidRPr="005249D3" w:rsidRDefault="005249D3" w:rsidP="005249D3">
            <w:pPr>
              <w:jc w:val="both"/>
              <w:rPr>
                <w:rFonts w:cs="Arial"/>
                <w:sz w:val="24"/>
                <w:lang w:val="en-US"/>
              </w:rPr>
            </w:pPr>
          </w:p>
        </w:tc>
      </w:tr>
      <w:tr w:rsidR="005249D3" w:rsidRPr="005249D3" w14:paraId="0B8E1834" w14:textId="77777777" w:rsidTr="005249D3">
        <w:tc>
          <w:tcPr>
            <w:tcW w:w="675" w:type="dxa"/>
          </w:tcPr>
          <w:p w14:paraId="0B8E1831" w14:textId="77777777" w:rsidR="005249D3" w:rsidRPr="005249D3" w:rsidRDefault="005249D3" w:rsidP="00810856">
            <w:pPr>
              <w:rPr>
                <w:rFonts w:cs="Arial"/>
                <w:sz w:val="24"/>
                <w:lang w:val="en-US"/>
              </w:rPr>
            </w:pPr>
            <w:r>
              <w:rPr>
                <w:rFonts w:cs="Arial"/>
                <w:sz w:val="24"/>
                <w:lang w:val="en-US"/>
              </w:rPr>
              <w:t>1.5</w:t>
            </w:r>
          </w:p>
        </w:tc>
        <w:tc>
          <w:tcPr>
            <w:tcW w:w="9781" w:type="dxa"/>
          </w:tcPr>
          <w:p w14:paraId="0B8E1832" w14:textId="25E14970" w:rsidR="005249D3" w:rsidRPr="0021695E" w:rsidRDefault="005249D3" w:rsidP="005249D3">
            <w:pPr>
              <w:jc w:val="both"/>
              <w:rPr>
                <w:rFonts w:cs="Arial"/>
                <w:sz w:val="24"/>
              </w:rPr>
            </w:pPr>
            <w:r w:rsidRPr="00AE34C2">
              <w:rPr>
                <w:rFonts w:cs="Arial"/>
                <w:b/>
                <w:bCs/>
                <w:sz w:val="24"/>
                <w:lang w:val="en-US"/>
              </w:rPr>
              <w:t>Maintenance of trust</w:t>
            </w:r>
            <w:r w:rsidRPr="0021695E">
              <w:rPr>
                <w:rFonts w:cs="Arial"/>
                <w:sz w:val="24"/>
                <w:lang w:val="en-US"/>
              </w:rPr>
              <w:t xml:space="preserve">.  </w:t>
            </w:r>
            <w:r w:rsidRPr="0021695E">
              <w:rPr>
                <w:rFonts w:cs="Arial"/>
                <w:sz w:val="24"/>
              </w:rPr>
              <w:t xml:space="preserve">This principle implies that practitioners will make every effort to ensure those offenders’ expectations of them and of the therapeutic intervention are ones that have reasonable prospects of being met. They </w:t>
            </w:r>
            <w:r w:rsidR="00AE34C2" w:rsidRPr="0021695E">
              <w:rPr>
                <w:rFonts w:cs="Arial"/>
                <w:sz w:val="24"/>
              </w:rPr>
              <w:t>should always strive to</w:t>
            </w:r>
            <w:r w:rsidRPr="0021695E">
              <w:rPr>
                <w:rFonts w:cs="Arial"/>
                <w:sz w:val="24"/>
              </w:rPr>
              <w:t xml:space="preserve"> adhere to contracts and agreements made with offenders and employing organisations. The maintenance of confidentiality is seen as an obligation arising from the offender’s trust, meaning that any disclosure of confidential information about offenders should be restricted to furthering the purposes for which it was originally disclosed.</w:t>
            </w:r>
          </w:p>
          <w:p w14:paraId="20C47238" w14:textId="2B5E881D" w:rsidR="00C90B22" w:rsidRPr="0021695E" w:rsidRDefault="00C90B22" w:rsidP="005249D3">
            <w:pPr>
              <w:jc w:val="both"/>
              <w:rPr>
                <w:rFonts w:cs="Arial"/>
                <w:sz w:val="24"/>
              </w:rPr>
            </w:pPr>
          </w:p>
          <w:p w14:paraId="5B17FB7A" w14:textId="244DABA6" w:rsidR="000767D0" w:rsidRPr="0021695E" w:rsidRDefault="00AE34C2" w:rsidP="000767D0">
            <w:pPr>
              <w:shd w:val="clear" w:color="auto" w:fill="FFFFFF"/>
              <w:spacing w:after="30"/>
              <w:ind w:right="435"/>
              <w:rPr>
                <w:rFonts w:cs="Arial"/>
                <w:color w:val="666666"/>
                <w:sz w:val="24"/>
                <w:lang w:eastAsia="en-GB"/>
              </w:rPr>
            </w:pPr>
            <w:r>
              <w:rPr>
                <w:rFonts w:cs="Arial"/>
                <w:sz w:val="24"/>
              </w:rPr>
              <w:lastRenderedPageBreak/>
              <w:t>1.6</w:t>
            </w:r>
            <w:r w:rsidRPr="0021695E">
              <w:rPr>
                <w:rFonts w:cs="Arial"/>
                <w:sz w:val="24"/>
              </w:rPr>
              <w:t xml:space="preserve"> </w:t>
            </w:r>
            <w:r w:rsidR="00C90B22" w:rsidRPr="0021695E">
              <w:rPr>
                <w:rFonts w:cs="Arial"/>
                <w:sz w:val="24"/>
              </w:rPr>
              <w:t xml:space="preserve">Confidentiality </w:t>
            </w:r>
          </w:p>
          <w:p w14:paraId="42174C97" w14:textId="6B13FDA9" w:rsidR="000767D0" w:rsidRPr="0021695E" w:rsidRDefault="000767D0" w:rsidP="000767D0">
            <w:pPr>
              <w:shd w:val="clear" w:color="auto" w:fill="FFFFFF"/>
              <w:spacing w:after="30"/>
              <w:ind w:right="435"/>
              <w:rPr>
                <w:rFonts w:cs="Arial"/>
                <w:color w:val="666666"/>
                <w:sz w:val="24"/>
                <w:lang w:eastAsia="en-GB"/>
              </w:rPr>
            </w:pPr>
            <w:r w:rsidRPr="0021695E">
              <w:rPr>
                <w:rFonts w:cs="Arial"/>
                <w:color w:val="666666"/>
                <w:sz w:val="24"/>
                <w:lang w:eastAsia="en-GB"/>
              </w:rPr>
              <w:t xml:space="preserve"> Counselling provides a confidential space for clients to discuss their problems in ‘low trust’ (Harvey, 2011) settings with a coercive ethos by default for prisoners. The private and confidential nature of counselling greatly contrasts with the prison environments often more intrusive way of being, be it through interruptions on the hall by inmates or the necessary requirement for self-disclosure through the prison process. It offers a place for prisoners to engage (either voluntarily or coercively) allow a therapeutic encounter to grow and over time trust to </w:t>
            </w:r>
            <w:r w:rsidR="00221FC3" w:rsidRPr="0021695E">
              <w:rPr>
                <w:rFonts w:cs="Arial"/>
                <w:color w:val="666666"/>
                <w:sz w:val="24"/>
                <w:lang w:eastAsia="en-GB"/>
              </w:rPr>
              <w:t>instil</w:t>
            </w:r>
            <w:r w:rsidRPr="0021695E">
              <w:rPr>
                <w:rFonts w:cs="Arial"/>
                <w:color w:val="666666"/>
                <w:sz w:val="24"/>
                <w:lang w:eastAsia="en-GB"/>
              </w:rPr>
              <w:t xml:space="preserve"> the good counselling relationship vital to positive therapeutic change.</w:t>
            </w:r>
          </w:p>
          <w:p w14:paraId="12E20B75" w14:textId="77777777" w:rsidR="000767D0" w:rsidRPr="0021695E" w:rsidRDefault="000767D0" w:rsidP="000767D0">
            <w:pPr>
              <w:shd w:val="clear" w:color="auto" w:fill="FFFFFF"/>
              <w:spacing w:after="30"/>
              <w:ind w:right="435"/>
              <w:rPr>
                <w:rFonts w:cs="Arial"/>
                <w:color w:val="666666"/>
                <w:sz w:val="24"/>
                <w:lang w:eastAsia="en-GB"/>
              </w:rPr>
            </w:pPr>
          </w:p>
          <w:p w14:paraId="26E0E332" w14:textId="2CE018CD" w:rsidR="00793520" w:rsidRPr="0021695E" w:rsidRDefault="000767D0" w:rsidP="000767D0">
            <w:pPr>
              <w:shd w:val="clear" w:color="auto" w:fill="FFFFFF"/>
              <w:spacing w:after="30"/>
              <w:ind w:right="435"/>
              <w:rPr>
                <w:rFonts w:cs="Arial"/>
                <w:color w:val="666666"/>
                <w:sz w:val="24"/>
                <w:lang w:eastAsia="en-GB"/>
              </w:rPr>
            </w:pPr>
            <w:r w:rsidRPr="0021695E">
              <w:rPr>
                <w:rFonts w:cs="Arial"/>
                <w:color w:val="666666"/>
                <w:sz w:val="24"/>
                <w:lang w:eastAsia="en-GB"/>
              </w:rPr>
              <w:t xml:space="preserve">Whilst counsellors hold upmost respect for their client’s privacy and confidentiality, in exceptional circumstances personal details or presenting situations may need to be appropriately disclosed. In the first instance and if safe to do so the counsellor would encourage clients to self-disclose to the relevant body, </w:t>
            </w:r>
            <w:r w:rsidR="00221FC3" w:rsidRPr="0021695E">
              <w:rPr>
                <w:rFonts w:cs="Arial"/>
                <w:color w:val="666666"/>
                <w:sz w:val="24"/>
                <w:lang w:eastAsia="en-GB"/>
              </w:rPr>
              <w:t>secondly,</w:t>
            </w:r>
            <w:r w:rsidRPr="0021695E">
              <w:rPr>
                <w:rFonts w:cs="Arial"/>
                <w:color w:val="666666"/>
                <w:sz w:val="24"/>
                <w:lang w:eastAsia="en-GB"/>
              </w:rPr>
              <w:t xml:space="preserve"> they would suggest </w:t>
            </w:r>
            <w:r w:rsidR="00793520" w:rsidRPr="0021695E">
              <w:rPr>
                <w:rFonts w:cs="Arial"/>
                <w:color w:val="666666"/>
                <w:sz w:val="24"/>
                <w:lang w:eastAsia="en-GB"/>
              </w:rPr>
              <w:t>passing</w:t>
            </w:r>
            <w:r w:rsidRPr="0021695E">
              <w:rPr>
                <w:rFonts w:cs="Arial"/>
                <w:color w:val="666666"/>
                <w:sz w:val="24"/>
                <w:lang w:eastAsia="en-GB"/>
              </w:rPr>
              <w:t xml:space="preserve"> on agreed information with informed consent on the </w:t>
            </w:r>
            <w:r w:rsidR="0021695E" w:rsidRPr="0021695E">
              <w:rPr>
                <w:rFonts w:cs="Arial"/>
                <w:color w:val="666666"/>
                <w:sz w:val="24"/>
                <w:lang w:eastAsia="en-GB"/>
              </w:rPr>
              <w:t>client’s</w:t>
            </w:r>
            <w:r w:rsidRPr="0021695E">
              <w:rPr>
                <w:rFonts w:cs="Arial"/>
                <w:color w:val="666666"/>
                <w:sz w:val="24"/>
                <w:lang w:eastAsia="en-GB"/>
              </w:rPr>
              <w:t xml:space="preserve"> behalf. </w:t>
            </w:r>
          </w:p>
          <w:p w14:paraId="5D829AE2" w14:textId="77777777" w:rsidR="00793520" w:rsidRPr="0021695E" w:rsidRDefault="00793520" w:rsidP="000767D0">
            <w:pPr>
              <w:shd w:val="clear" w:color="auto" w:fill="FFFFFF"/>
              <w:spacing w:after="30"/>
              <w:ind w:right="435"/>
              <w:rPr>
                <w:rFonts w:cs="Arial"/>
                <w:color w:val="666666"/>
                <w:sz w:val="24"/>
                <w:lang w:eastAsia="en-GB"/>
              </w:rPr>
            </w:pPr>
          </w:p>
          <w:p w14:paraId="04DE4FBD" w14:textId="767CC61C" w:rsidR="000767D0" w:rsidRPr="0021695E" w:rsidRDefault="000767D0" w:rsidP="000767D0">
            <w:pPr>
              <w:shd w:val="clear" w:color="auto" w:fill="FFFFFF"/>
              <w:spacing w:after="30"/>
              <w:ind w:right="435"/>
              <w:rPr>
                <w:rFonts w:cs="Arial"/>
                <w:color w:val="666666"/>
                <w:sz w:val="24"/>
                <w:lang w:eastAsia="en-GB"/>
              </w:rPr>
            </w:pPr>
            <w:r w:rsidRPr="0021695E">
              <w:rPr>
                <w:rFonts w:cs="Arial"/>
                <w:color w:val="666666"/>
                <w:sz w:val="24"/>
                <w:lang w:eastAsia="en-GB"/>
              </w:rPr>
              <w:t>Thirdly, and if the client is unwilling to disclose and the risk posed is significant enough, the counsellor may share relevant information without prior consent. Examples are listed below:</w:t>
            </w:r>
          </w:p>
          <w:p w14:paraId="5FA5BD08" w14:textId="77777777" w:rsidR="000767D0" w:rsidRPr="0021695E" w:rsidRDefault="000767D0" w:rsidP="000767D0">
            <w:pPr>
              <w:shd w:val="clear" w:color="auto" w:fill="FFFFFF"/>
              <w:spacing w:after="30"/>
              <w:ind w:right="435"/>
              <w:rPr>
                <w:rFonts w:cs="Arial"/>
                <w:color w:val="666666"/>
                <w:sz w:val="24"/>
                <w:lang w:eastAsia="en-GB"/>
              </w:rPr>
            </w:pPr>
          </w:p>
          <w:p w14:paraId="7451BEA9" w14:textId="77777777" w:rsidR="000767D0" w:rsidRPr="0021695E" w:rsidRDefault="000767D0" w:rsidP="000767D0">
            <w:pPr>
              <w:shd w:val="clear" w:color="auto" w:fill="FFFFFF"/>
              <w:spacing w:after="30"/>
              <w:ind w:right="435"/>
              <w:rPr>
                <w:rFonts w:cs="Arial"/>
                <w:color w:val="666666"/>
                <w:sz w:val="24"/>
                <w:lang w:eastAsia="en-GB"/>
              </w:rPr>
            </w:pPr>
          </w:p>
          <w:p w14:paraId="7F0C42AA" w14:textId="27E47DF7" w:rsidR="000767D0" w:rsidRPr="0021695E" w:rsidRDefault="000767D0" w:rsidP="00221FC3">
            <w:pPr>
              <w:pStyle w:val="ListParagraph"/>
              <w:numPr>
                <w:ilvl w:val="0"/>
                <w:numId w:val="10"/>
              </w:numPr>
              <w:shd w:val="clear" w:color="auto" w:fill="FFFFFF"/>
              <w:spacing w:after="30"/>
              <w:ind w:right="435"/>
              <w:rPr>
                <w:rFonts w:cs="Arial"/>
                <w:color w:val="666666"/>
                <w:sz w:val="24"/>
                <w:lang w:eastAsia="en-GB"/>
              </w:rPr>
            </w:pPr>
            <w:r w:rsidRPr="0021695E">
              <w:rPr>
                <w:rFonts w:cs="Arial"/>
                <w:color w:val="666666"/>
                <w:sz w:val="24"/>
                <w:lang w:eastAsia="en-GB"/>
              </w:rPr>
              <w:t>If there poses a serious risk or the client discloses information that could lead to harm to self, counsellor or others. This include suppling drugs, mobile phones and other items or behaviours prohibited in the prison setting.</w:t>
            </w:r>
          </w:p>
          <w:p w14:paraId="10DA5C02" w14:textId="77777777" w:rsidR="000767D0" w:rsidRPr="0021695E" w:rsidRDefault="000767D0" w:rsidP="000767D0">
            <w:pPr>
              <w:pStyle w:val="ListParagraph"/>
              <w:shd w:val="clear" w:color="auto" w:fill="FFFFFF"/>
              <w:spacing w:after="30"/>
              <w:ind w:right="435" w:hanging="360"/>
              <w:rPr>
                <w:rFonts w:cs="Arial"/>
                <w:color w:val="666666"/>
                <w:sz w:val="24"/>
                <w:lang w:eastAsia="en-GB"/>
              </w:rPr>
            </w:pPr>
          </w:p>
          <w:p w14:paraId="14667BE8" w14:textId="03C128AD" w:rsidR="000767D0" w:rsidRPr="0021695E" w:rsidRDefault="000767D0" w:rsidP="00221FC3">
            <w:pPr>
              <w:pStyle w:val="ListParagraph"/>
              <w:numPr>
                <w:ilvl w:val="0"/>
                <w:numId w:val="10"/>
              </w:numPr>
              <w:shd w:val="clear" w:color="auto" w:fill="FFFFFF"/>
              <w:spacing w:after="30"/>
              <w:ind w:right="435"/>
              <w:rPr>
                <w:rFonts w:cs="Arial"/>
                <w:color w:val="666666"/>
                <w:sz w:val="24"/>
                <w:lang w:eastAsia="en-GB"/>
              </w:rPr>
            </w:pPr>
            <w:r w:rsidRPr="0021695E">
              <w:rPr>
                <w:rFonts w:cs="Arial"/>
                <w:color w:val="666666"/>
                <w:sz w:val="24"/>
                <w:lang w:eastAsia="en-GB"/>
              </w:rPr>
              <w:t>If the client discloses information that could threaten criminal proceedings or legal action for the counsellor if left undisclosed.</w:t>
            </w:r>
          </w:p>
          <w:p w14:paraId="75E62DA0" w14:textId="24423450" w:rsidR="000767D0" w:rsidRPr="0021695E" w:rsidRDefault="000767D0" w:rsidP="00221FC3">
            <w:pPr>
              <w:pStyle w:val="ListParagraph"/>
              <w:shd w:val="clear" w:color="auto" w:fill="FFFFFF"/>
              <w:spacing w:after="30"/>
              <w:ind w:right="435" w:firstLine="45"/>
              <w:rPr>
                <w:rFonts w:cs="Arial"/>
                <w:color w:val="666666"/>
                <w:sz w:val="24"/>
                <w:lang w:eastAsia="en-GB"/>
              </w:rPr>
            </w:pPr>
          </w:p>
          <w:p w14:paraId="3AAC2868" w14:textId="1ADDB522" w:rsidR="000767D0" w:rsidRPr="0021695E" w:rsidRDefault="000767D0" w:rsidP="00221FC3">
            <w:pPr>
              <w:pStyle w:val="ListParagraph"/>
              <w:numPr>
                <w:ilvl w:val="0"/>
                <w:numId w:val="10"/>
              </w:numPr>
              <w:shd w:val="clear" w:color="auto" w:fill="FFFFFF"/>
              <w:spacing w:after="30"/>
              <w:ind w:right="435"/>
              <w:rPr>
                <w:rFonts w:cs="Arial"/>
                <w:color w:val="666666"/>
                <w:sz w:val="24"/>
                <w:lang w:eastAsia="en-GB"/>
              </w:rPr>
            </w:pPr>
            <w:r w:rsidRPr="0021695E">
              <w:rPr>
                <w:rFonts w:cs="Arial"/>
                <w:color w:val="666666"/>
                <w:sz w:val="24"/>
                <w:lang w:eastAsia="en-GB"/>
              </w:rPr>
              <w:t>When permission has already been sought and agreements have been made to speak to a specific agency or person (i.e. speaking to HealthCare, Addictions or Mental Health teams on the client behalf with a view to assist the client).</w:t>
            </w:r>
          </w:p>
          <w:p w14:paraId="64989C18" w14:textId="7996EF4D" w:rsidR="00C90B22" w:rsidRPr="0021695E" w:rsidRDefault="00C90B22" w:rsidP="005249D3">
            <w:pPr>
              <w:jc w:val="both"/>
              <w:rPr>
                <w:rFonts w:cs="Arial"/>
                <w:sz w:val="24"/>
              </w:rPr>
            </w:pPr>
          </w:p>
          <w:p w14:paraId="252D13CC" w14:textId="77777777" w:rsidR="00CA3282" w:rsidRPr="0021695E" w:rsidRDefault="00CA3282" w:rsidP="005249D3">
            <w:pPr>
              <w:jc w:val="both"/>
              <w:rPr>
                <w:rFonts w:cs="Arial"/>
                <w:sz w:val="24"/>
              </w:rPr>
            </w:pPr>
          </w:p>
          <w:p w14:paraId="0B8E1833" w14:textId="77777777" w:rsidR="00DB03E9" w:rsidRPr="0021695E" w:rsidRDefault="00DB03E9" w:rsidP="005249D3">
            <w:pPr>
              <w:jc w:val="both"/>
              <w:rPr>
                <w:rFonts w:cs="Arial"/>
                <w:sz w:val="24"/>
                <w:lang w:val="en-US"/>
              </w:rPr>
            </w:pPr>
          </w:p>
        </w:tc>
        <w:bookmarkStart w:id="0" w:name="_GoBack"/>
        <w:bookmarkEnd w:id="0"/>
      </w:tr>
    </w:tbl>
    <w:p w14:paraId="3C99D99E" w14:textId="77777777" w:rsidR="00704D76" w:rsidRDefault="00704D76" w:rsidP="00DC70D8">
      <w:pPr>
        <w:jc w:val="center"/>
        <w:rPr>
          <w:rFonts w:cs="Arial"/>
          <w:b/>
          <w:sz w:val="20"/>
          <w:szCs w:val="20"/>
          <w:lang w:val="en-US"/>
        </w:rPr>
      </w:pPr>
    </w:p>
    <w:p w14:paraId="70E48A2E" w14:textId="77777777" w:rsidR="00704D76" w:rsidRDefault="00704D76" w:rsidP="00DC70D8">
      <w:pPr>
        <w:jc w:val="center"/>
        <w:rPr>
          <w:rFonts w:cs="Arial"/>
          <w:b/>
          <w:sz w:val="20"/>
          <w:szCs w:val="20"/>
          <w:lang w:val="en-US"/>
        </w:rPr>
      </w:pPr>
    </w:p>
    <w:p w14:paraId="35BFB158" w14:textId="77777777" w:rsidR="00704D76" w:rsidRDefault="00704D76" w:rsidP="00DC70D8">
      <w:pPr>
        <w:jc w:val="center"/>
        <w:rPr>
          <w:rFonts w:cs="Arial"/>
          <w:b/>
          <w:sz w:val="20"/>
          <w:szCs w:val="20"/>
          <w:lang w:val="en-US"/>
        </w:rPr>
      </w:pPr>
    </w:p>
    <w:p w14:paraId="1A87A4F7" w14:textId="77777777" w:rsidR="00704D76" w:rsidRDefault="00704D76" w:rsidP="00DC70D8">
      <w:pPr>
        <w:jc w:val="center"/>
        <w:rPr>
          <w:rFonts w:cs="Arial"/>
          <w:b/>
          <w:sz w:val="20"/>
          <w:szCs w:val="20"/>
          <w:lang w:val="en-US"/>
        </w:rPr>
      </w:pPr>
    </w:p>
    <w:p w14:paraId="36572E96" w14:textId="77777777" w:rsidR="00704D76" w:rsidRDefault="00704D76" w:rsidP="00DC70D8">
      <w:pPr>
        <w:jc w:val="center"/>
        <w:rPr>
          <w:rFonts w:cs="Arial"/>
          <w:b/>
          <w:sz w:val="20"/>
          <w:szCs w:val="20"/>
          <w:lang w:val="en-US"/>
        </w:rPr>
      </w:pPr>
    </w:p>
    <w:p w14:paraId="0B077C23" w14:textId="77777777" w:rsidR="00704D76" w:rsidRDefault="00704D76" w:rsidP="00DC70D8">
      <w:pPr>
        <w:jc w:val="center"/>
        <w:rPr>
          <w:rFonts w:cs="Arial"/>
          <w:b/>
          <w:sz w:val="20"/>
          <w:szCs w:val="20"/>
          <w:lang w:val="en-US"/>
        </w:rPr>
      </w:pPr>
    </w:p>
    <w:p w14:paraId="4F0842ED" w14:textId="77777777" w:rsidR="00704D76" w:rsidRDefault="00704D76" w:rsidP="00DC70D8">
      <w:pPr>
        <w:jc w:val="center"/>
        <w:rPr>
          <w:rFonts w:cs="Arial"/>
          <w:b/>
          <w:sz w:val="20"/>
          <w:szCs w:val="20"/>
          <w:lang w:val="en-US"/>
        </w:rPr>
      </w:pPr>
    </w:p>
    <w:p w14:paraId="110ADE3B" w14:textId="77777777" w:rsidR="00704D76" w:rsidRDefault="00704D76" w:rsidP="00DC70D8">
      <w:pPr>
        <w:jc w:val="center"/>
        <w:rPr>
          <w:rFonts w:cs="Arial"/>
          <w:b/>
          <w:sz w:val="20"/>
          <w:szCs w:val="20"/>
          <w:lang w:val="en-US"/>
        </w:rPr>
      </w:pPr>
    </w:p>
    <w:p w14:paraId="2C5D9E4B" w14:textId="77777777" w:rsidR="00704D76" w:rsidRDefault="00704D76" w:rsidP="00DC70D8">
      <w:pPr>
        <w:jc w:val="center"/>
        <w:rPr>
          <w:rFonts w:cs="Arial"/>
          <w:b/>
          <w:sz w:val="20"/>
          <w:szCs w:val="20"/>
          <w:lang w:val="en-US"/>
        </w:rPr>
      </w:pPr>
    </w:p>
    <w:p w14:paraId="5AEBABF7" w14:textId="77777777" w:rsidR="00704D76" w:rsidRDefault="00704D76" w:rsidP="00DC70D8">
      <w:pPr>
        <w:jc w:val="center"/>
        <w:rPr>
          <w:rFonts w:cs="Arial"/>
          <w:b/>
          <w:sz w:val="20"/>
          <w:szCs w:val="20"/>
          <w:lang w:val="en-US"/>
        </w:rPr>
      </w:pPr>
    </w:p>
    <w:p w14:paraId="5A9804B7" w14:textId="77777777" w:rsidR="00704D76" w:rsidRDefault="00704D76" w:rsidP="00DC70D8">
      <w:pPr>
        <w:jc w:val="center"/>
        <w:rPr>
          <w:rFonts w:cs="Arial"/>
          <w:b/>
          <w:sz w:val="20"/>
          <w:szCs w:val="20"/>
          <w:lang w:val="en-US"/>
        </w:rPr>
      </w:pPr>
    </w:p>
    <w:p w14:paraId="4DB53335" w14:textId="77777777" w:rsidR="00704D76" w:rsidRDefault="00704D76" w:rsidP="00DC70D8">
      <w:pPr>
        <w:jc w:val="center"/>
        <w:rPr>
          <w:rFonts w:cs="Arial"/>
          <w:b/>
          <w:sz w:val="20"/>
          <w:szCs w:val="20"/>
          <w:lang w:val="en-US"/>
        </w:rPr>
      </w:pPr>
    </w:p>
    <w:p w14:paraId="5FB7885D" w14:textId="77777777" w:rsidR="00704D76" w:rsidRDefault="00704D76" w:rsidP="00DC70D8">
      <w:pPr>
        <w:jc w:val="center"/>
        <w:rPr>
          <w:rFonts w:cs="Arial"/>
          <w:b/>
          <w:sz w:val="20"/>
          <w:szCs w:val="20"/>
          <w:lang w:val="en-US"/>
        </w:rPr>
      </w:pPr>
    </w:p>
    <w:p w14:paraId="0C34B8EE" w14:textId="77777777" w:rsidR="00704D76" w:rsidRDefault="00704D76" w:rsidP="00DC70D8">
      <w:pPr>
        <w:jc w:val="center"/>
        <w:rPr>
          <w:rFonts w:cs="Arial"/>
          <w:b/>
          <w:sz w:val="20"/>
          <w:szCs w:val="20"/>
          <w:lang w:val="en-US"/>
        </w:rPr>
      </w:pPr>
    </w:p>
    <w:p w14:paraId="7359E385" w14:textId="77777777" w:rsidR="00704D76" w:rsidRDefault="00704D76" w:rsidP="00DC70D8">
      <w:pPr>
        <w:jc w:val="center"/>
        <w:rPr>
          <w:rFonts w:cs="Arial"/>
          <w:b/>
          <w:sz w:val="20"/>
          <w:szCs w:val="20"/>
          <w:lang w:val="en-US"/>
        </w:rPr>
      </w:pPr>
    </w:p>
    <w:p w14:paraId="23002360" w14:textId="77777777" w:rsidR="00704D76" w:rsidRDefault="00704D76" w:rsidP="00DC70D8">
      <w:pPr>
        <w:jc w:val="center"/>
        <w:rPr>
          <w:rFonts w:cs="Arial"/>
          <w:b/>
          <w:sz w:val="20"/>
          <w:szCs w:val="20"/>
          <w:lang w:val="en-US"/>
        </w:rPr>
      </w:pPr>
    </w:p>
    <w:p w14:paraId="2E04C664" w14:textId="77777777" w:rsidR="00704D76" w:rsidRDefault="00704D76" w:rsidP="00DC70D8">
      <w:pPr>
        <w:jc w:val="center"/>
        <w:rPr>
          <w:rFonts w:cs="Arial"/>
          <w:b/>
          <w:sz w:val="20"/>
          <w:szCs w:val="20"/>
          <w:lang w:val="en-US"/>
        </w:rPr>
      </w:pPr>
    </w:p>
    <w:p w14:paraId="758E720F" w14:textId="77777777" w:rsidR="00704D76" w:rsidRDefault="00704D76" w:rsidP="00DC70D8">
      <w:pPr>
        <w:jc w:val="center"/>
        <w:rPr>
          <w:rFonts w:cs="Arial"/>
          <w:b/>
          <w:sz w:val="20"/>
          <w:szCs w:val="20"/>
          <w:lang w:val="en-US"/>
        </w:rPr>
      </w:pPr>
    </w:p>
    <w:p w14:paraId="0B8E1835" w14:textId="083BB4A9" w:rsidR="00D956AA" w:rsidRPr="00DC70D8" w:rsidRDefault="00CD7DC9" w:rsidP="00DC70D8">
      <w:pPr>
        <w:jc w:val="center"/>
        <w:rPr>
          <w:rFonts w:cs="Arial"/>
          <w:b/>
          <w:sz w:val="20"/>
          <w:szCs w:val="20"/>
          <w:lang w:val="en-US"/>
        </w:rPr>
      </w:pPr>
      <w:r w:rsidRPr="00DC70D8">
        <w:rPr>
          <w:rFonts w:cs="Arial"/>
          <w:b/>
          <w:sz w:val="20"/>
          <w:szCs w:val="20"/>
          <w:lang w:val="en-US"/>
        </w:rPr>
        <w:t>PWJ CIPN 201</w:t>
      </w:r>
      <w:r w:rsidR="008D2093" w:rsidRPr="00DC70D8">
        <w:rPr>
          <w:rFonts w:cs="Arial"/>
          <w:b/>
          <w:sz w:val="20"/>
          <w:szCs w:val="20"/>
          <w:lang w:val="en-US"/>
        </w:rPr>
        <w:t>6</w:t>
      </w:r>
    </w:p>
    <w:sectPr w:rsidR="00D956AA" w:rsidRPr="00DC70D8" w:rsidSect="005249D3">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3093" w14:textId="77777777" w:rsidR="009770E6" w:rsidRDefault="009770E6" w:rsidP="00DC70D8">
      <w:r>
        <w:separator/>
      </w:r>
    </w:p>
  </w:endnote>
  <w:endnote w:type="continuationSeparator" w:id="0">
    <w:p w14:paraId="07BD43D3" w14:textId="77777777" w:rsidR="009770E6" w:rsidRDefault="009770E6" w:rsidP="00DC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3D1A" w14:textId="77777777" w:rsidR="009770E6" w:rsidRDefault="009770E6" w:rsidP="00DC70D8">
      <w:r>
        <w:separator/>
      </w:r>
    </w:p>
  </w:footnote>
  <w:footnote w:type="continuationSeparator" w:id="0">
    <w:p w14:paraId="1D51BCAC" w14:textId="77777777" w:rsidR="009770E6" w:rsidRDefault="009770E6" w:rsidP="00DC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183C" w14:textId="77777777" w:rsidR="00DC70D8" w:rsidRDefault="009B2E9A">
    <w:pPr>
      <w:pStyle w:val="Header"/>
    </w:pPr>
    <w:r>
      <w:rPr>
        <w:noProof/>
        <w:lang w:eastAsia="en-GB"/>
      </w:rPr>
      <w:pict w14:anchorId="0B8E1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68657" o:spid="_x0000_s2050" type="#_x0000_t75" style="position:absolute;margin-left:0;margin-top:0;width:523.1pt;height:391.8pt;z-index:-251657216;mso-position-horizontal:center;mso-position-horizontal-relative:margin;mso-position-vertical:center;mso-position-vertical-relative:margin" o:allowincell="f">
          <v:imagedata r:id="rId1" o:title="Ethic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183D" w14:textId="77777777" w:rsidR="00DC70D8" w:rsidRDefault="009B2E9A">
    <w:pPr>
      <w:pStyle w:val="Header"/>
    </w:pPr>
    <w:r>
      <w:rPr>
        <w:noProof/>
        <w:lang w:eastAsia="en-GB"/>
      </w:rPr>
      <w:pict w14:anchorId="0B8E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68658" o:spid="_x0000_s2051" type="#_x0000_t75" style="position:absolute;margin-left:0;margin-top:0;width:523.1pt;height:391.8pt;z-index:-251656192;mso-position-horizontal:center;mso-position-horizontal-relative:margin;mso-position-vertical:center;mso-position-vertical-relative:margin" o:allowincell="f">
          <v:imagedata r:id="rId1" o:title="Ethic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183E" w14:textId="77777777" w:rsidR="00DC70D8" w:rsidRDefault="009B2E9A">
    <w:pPr>
      <w:pStyle w:val="Header"/>
    </w:pPr>
    <w:r>
      <w:rPr>
        <w:noProof/>
        <w:lang w:eastAsia="en-GB"/>
      </w:rPr>
      <w:pict w14:anchorId="0B8E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68656" o:spid="_x0000_s2049" type="#_x0000_t75" style="position:absolute;margin-left:0;margin-top:0;width:523.1pt;height:391.8pt;z-index:-251658240;mso-position-horizontal:center;mso-position-horizontal-relative:margin;mso-position-vertical:center;mso-position-vertical-relative:margin" o:allowincell="f">
          <v:imagedata r:id="rId1" o:title="Ethic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85B"/>
    <w:multiLevelType w:val="multilevel"/>
    <w:tmpl w:val="84B6DC70"/>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C9C51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B67558"/>
    <w:multiLevelType w:val="multilevel"/>
    <w:tmpl w:val="3E0CC1FE"/>
    <w:lvl w:ilvl="0">
      <w:start w:val="1"/>
      <w:numFmt w:val="decimal"/>
      <w:lvlText w:val="%1)"/>
      <w:lvlJc w:val="left"/>
      <w:pPr>
        <w:ind w:left="360" w:hanging="360"/>
      </w:pPr>
      <w:rPr>
        <w:rFonts w:hint="default"/>
      </w:rPr>
    </w:lvl>
    <w:lvl w:ilvl="1">
      <w:start w:val="1"/>
      <w:numFmt w:val="none"/>
      <w:lvlText w:val="1.1"/>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1F4391"/>
    <w:multiLevelType w:val="hybridMultilevel"/>
    <w:tmpl w:val="AA9CB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6F52"/>
    <w:multiLevelType w:val="hybridMultilevel"/>
    <w:tmpl w:val="C0F87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55D99"/>
    <w:multiLevelType w:val="multilevel"/>
    <w:tmpl w:val="1F6A6512"/>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F477149"/>
    <w:multiLevelType w:val="multilevel"/>
    <w:tmpl w:val="A4864C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B5C79B1"/>
    <w:multiLevelType w:val="multilevel"/>
    <w:tmpl w:val="3E0CC1FE"/>
    <w:lvl w:ilvl="0">
      <w:start w:val="1"/>
      <w:numFmt w:val="decimal"/>
      <w:lvlText w:val="%1)"/>
      <w:lvlJc w:val="left"/>
      <w:pPr>
        <w:ind w:left="360" w:hanging="360"/>
      </w:pPr>
      <w:rPr>
        <w:rFonts w:hint="default"/>
      </w:rPr>
    </w:lvl>
    <w:lvl w:ilvl="1">
      <w:start w:val="1"/>
      <w:numFmt w:val="none"/>
      <w:lvlText w:val="1.1"/>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707D58"/>
    <w:multiLevelType w:val="hybridMultilevel"/>
    <w:tmpl w:val="EE247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1A05D1"/>
    <w:multiLevelType w:val="multilevel"/>
    <w:tmpl w:val="3E0CC1FE"/>
    <w:lvl w:ilvl="0">
      <w:start w:val="1"/>
      <w:numFmt w:val="decimal"/>
      <w:lvlText w:val="%1)"/>
      <w:lvlJc w:val="left"/>
      <w:pPr>
        <w:ind w:left="360" w:hanging="360"/>
      </w:pPr>
      <w:rPr>
        <w:rFonts w:hint="default"/>
      </w:rPr>
    </w:lvl>
    <w:lvl w:ilvl="1">
      <w:start w:val="1"/>
      <w:numFmt w:val="none"/>
      <w:lvlText w:val="1.1"/>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9"/>
    <w:rsid w:val="00072D3D"/>
    <w:rsid w:val="000767D0"/>
    <w:rsid w:val="000A1A13"/>
    <w:rsid w:val="000D5FA8"/>
    <w:rsid w:val="000F7539"/>
    <w:rsid w:val="00155284"/>
    <w:rsid w:val="00183512"/>
    <w:rsid w:val="0021695E"/>
    <w:rsid w:val="00221FC3"/>
    <w:rsid w:val="004B33A3"/>
    <w:rsid w:val="005122B0"/>
    <w:rsid w:val="005249D3"/>
    <w:rsid w:val="006532FD"/>
    <w:rsid w:val="00686449"/>
    <w:rsid w:val="00692A61"/>
    <w:rsid w:val="00704D76"/>
    <w:rsid w:val="0078323D"/>
    <w:rsid w:val="00793520"/>
    <w:rsid w:val="00802D96"/>
    <w:rsid w:val="008D2093"/>
    <w:rsid w:val="009770E6"/>
    <w:rsid w:val="009B2E9A"/>
    <w:rsid w:val="00AE34C2"/>
    <w:rsid w:val="00BF6120"/>
    <w:rsid w:val="00C42461"/>
    <w:rsid w:val="00C90B22"/>
    <w:rsid w:val="00CA3282"/>
    <w:rsid w:val="00CD7DC9"/>
    <w:rsid w:val="00D956AA"/>
    <w:rsid w:val="00DB03E9"/>
    <w:rsid w:val="00DC70D8"/>
    <w:rsid w:val="00D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8E1803"/>
  <w15:docId w15:val="{EDBB421E-37F4-4024-9893-92E618E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C9"/>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DC70D8"/>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F7"/>
    <w:pPr>
      <w:ind w:left="720"/>
      <w:contextualSpacing/>
    </w:pPr>
  </w:style>
  <w:style w:type="table" w:styleId="TableGrid">
    <w:name w:val="Table Grid"/>
    <w:basedOn w:val="TableNormal"/>
    <w:uiPriority w:val="59"/>
    <w:rsid w:val="0052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449"/>
    <w:rPr>
      <w:rFonts w:ascii="Tahoma" w:hAnsi="Tahoma" w:cs="Tahoma"/>
      <w:sz w:val="16"/>
      <w:szCs w:val="16"/>
    </w:rPr>
  </w:style>
  <w:style w:type="character" w:customStyle="1" w:styleId="BalloonTextChar">
    <w:name w:val="Balloon Text Char"/>
    <w:basedOn w:val="DefaultParagraphFont"/>
    <w:link w:val="BalloonText"/>
    <w:uiPriority w:val="99"/>
    <w:semiHidden/>
    <w:rsid w:val="00686449"/>
    <w:rPr>
      <w:rFonts w:ascii="Tahoma" w:eastAsia="Times New Roman" w:hAnsi="Tahoma" w:cs="Tahoma"/>
      <w:sz w:val="16"/>
      <w:szCs w:val="16"/>
    </w:rPr>
  </w:style>
  <w:style w:type="paragraph" w:styleId="Header">
    <w:name w:val="header"/>
    <w:basedOn w:val="Normal"/>
    <w:link w:val="HeaderChar"/>
    <w:uiPriority w:val="99"/>
    <w:semiHidden/>
    <w:unhideWhenUsed/>
    <w:rsid w:val="00DC70D8"/>
    <w:pPr>
      <w:tabs>
        <w:tab w:val="center" w:pos="4513"/>
        <w:tab w:val="right" w:pos="9026"/>
      </w:tabs>
    </w:pPr>
  </w:style>
  <w:style w:type="character" w:customStyle="1" w:styleId="HeaderChar">
    <w:name w:val="Header Char"/>
    <w:basedOn w:val="DefaultParagraphFont"/>
    <w:link w:val="Header"/>
    <w:uiPriority w:val="99"/>
    <w:semiHidden/>
    <w:rsid w:val="00DC70D8"/>
    <w:rPr>
      <w:rFonts w:ascii="Arial" w:eastAsia="Times New Roman" w:hAnsi="Arial" w:cs="Times New Roman"/>
      <w:szCs w:val="24"/>
    </w:rPr>
  </w:style>
  <w:style w:type="paragraph" w:styleId="Footer">
    <w:name w:val="footer"/>
    <w:basedOn w:val="Normal"/>
    <w:link w:val="FooterChar"/>
    <w:uiPriority w:val="99"/>
    <w:semiHidden/>
    <w:unhideWhenUsed/>
    <w:rsid w:val="00DC70D8"/>
    <w:pPr>
      <w:tabs>
        <w:tab w:val="center" w:pos="4513"/>
        <w:tab w:val="right" w:pos="9026"/>
      </w:tabs>
    </w:pPr>
  </w:style>
  <w:style w:type="character" w:customStyle="1" w:styleId="FooterChar">
    <w:name w:val="Footer Char"/>
    <w:basedOn w:val="DefaultParagraphFont"/>
    <w:link w:val="Footer"/>
    <w:uiPriority w:val="99"/>
    <w:semiHidden/>
    <w:rsid w:val="00DC70D8"/>
    <w:rPr>
      <w:rFonts w:ascii="Arial" w:eastAsia="Times New Roman" w:hAnsi="Arial" w:cs="Times New Roman"/>
      <w:szCs w:val="24"/>
    </w:rPr>
  </w:style>
  <w:style w:type="character" w:customStyle="1" w:styleId="Heading1Char">
    <w:name w:val="Heading 1 Char"/>
    <w:basedOn w:val="DefaultParagraphFont"/>
    <w:link w:val="Heading1"/>
    <w:rsid w:val="00DC70D8"/>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Jones</cp:lastModifiedBy>
  <cp:revision>9</cp:revision>
  <cp:lastPrinted>2016-06-27T09:10:00Z</cp:lastPrinted>
  <dcterms:created xsi:type="dcterms:W3CDTF">2020-02-12T09:40:00Z</dcterms:created>
  <dcterms:modified xsi:type="dcterms:W3CDTF">2020-02-12T09:48:00Z</dcterms:modified>
</cp:coreProperties>
</file>